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326700">
      <w:pPr>
        <w:pStyle w:val="NormalWeb"/>
        <w:spacing w:beforeAutospacing="0" w:afterAutospacing="0" w:line="480" w:lineRule="auto"/>
        <w:jc w:val="center"/>
        <w:rPr>
          <w:b/>
          <w:bCs/>
          <w:color w:val="0E101A"/>
        </w:rPr>
      </w:pPr>
      <w:r>
        <w:rPr>
          <w:b/>
          <w:bCs/>
          <w:color w:val="0E101A"/>
        </w:rPr>
        <w:t xml:space="preserve">Global Health Issue: </w:t>
      </w:r>
      <w:r>
        <w:rPr>
          <w:b/>
          <w:bCs/>
          <w:color w:val="0E101A"/>
        </w:rPr>
        <w:t>Malaria</w:t>
      </w:r>
    </w:p>
    <w:p w:rsidR="00B12285" w:rsidRDefault="00326700">
      <w:pPr>
        <w:pStyle w:val="NormalWeb"/>
        <w:spacing w:beforeAutospacing="0" w:afterAutospacing="0" w:line="480" w:lineRule="auto"/>
        <w:jc w:val="center"/>
        <w:rPr>
          <w:color w:val="0E101A"/>
        </w:rPr>
      </w:pPr>
      <w:r>
        <w:rPr>
          <w:color w:val="0E101A"/>
        </w:rPr>
        <w:t>Student’s Name</w:t>
      </w:r>
    </w:p>
    <w:p w:rsidR="00B12285" w:rsidRDefault="00326700">
      <w:pPr>
        <w:pStyle w:val="NormalWeb"/>
        <w:spacing w:beforeAutospacing="0" w:afterAutospacing="0" w:line="480" w:lineRule="auto"/>
        <w:jc w:val="center"/>
        <w:rPr>
          <w:color w:val="0E101A"/>
        </w:rPr>
      </w:pPr>
      <w:r>
        <w:rPr>
          <w:color w:val="0E101A"/>
        </w:rPr>
        <w:t>Institution</w:t>
      </w:r>
    </w:p>
    <w:p w:rsidR="00B12285" w:rsidRDefault="00326700">
      <w:pPr>
        <w:pStyle w:val="NormalWeb"/>
        <w:spacing w:beforeAutospacing="0" w:afterAutospacing="0" w:line="480" w:lineRule="auto"/>
        <w:jc w:val="center"/>
        <w:rPr>
          <w:color w:val="0E101A"/>
        </w:rPr>
      </w:pPr>
      <w:r>
        <w:rPr>
          <w:color w:val="0E101A"/>
        </w:rPr>
        <w:t>Course</w:t>
      </w:r>
    </w:p>
    <w:p w:rsidR="00B12285" w:rsidRDefault="00326700">
      <w:pPr>
        <w:pStyle w:val="NormalWeb"/>
        <w:spacing w:beforeAutospacing="0" w:afterAutospacing="0" w:line="480" w:lineRule="auto"/>
        <w:jc w:val="center"/>
        <w:rPr>
          <w:color w:val="0E101A"/>
        </w:rPr>
      </w:pPr>
      <w:r>
        <w:rPr>
          <w:color w:val="0E101A"/>
        </w:rPr>
        <w:t xml:space="preserve">Professor’s Name </w:t>
      </w:r>
      <w:r>
        <w:rPr>
          <w:color w:val="0E101A"/>
        </w:rPr>
        <w:br/>
        <w:t>Date</w:t>
      </w:r>
    </w:p>
    <w:p w:rsidR="00B12285" w:rsidRDefault="00B12285">
      <w:pPr>
        <w:pStyle w:val="NormalWeb"/>
        <w:spacing w:beforeAutospacing="0" w:afterAutospacing="0" w:line="480" w:lineRule="auto"/>
        <w:jc w:val="center"/>
        <w:rPr>
          <w:color w:val="0E101A"/>
        </w:rPr>
      </w:pPr>
    </w:p>
    <w:p w:rsidR="00B12285" w:rsidRDefault="00B12285">
      <w:pPr>
        <w:pStyle w:val="NormalWeb"/>
        <w:spacing w:beforeAutospacing="0" w:afterAutospacing="0" w:line="480" w:lineRule="auto"/>
        <w:jc w:val="center"/>
        <w:rPr>
          <w:color w:val="0E101A"/>
        </w:rPr>
      </w:pPr>
    </w:p>
    <w:p w:rsidR="00B12285" w:rsidRDefault="00B12285">
      <w:pPr>
        <w:pStyle w:val="NormalWeb"/>
        <w:spacing w:beforeAutospacing="0" w:afterAutospacing="0" w:line="480" w:lineRule="auto"/>
        <w:rPr>
          <w:color w:val="0E101A"/>
        </w:rPr>
      </w:pPr>
    </w:p>
    <w:p w:rsidR="00B12285" w:rsidRDefault="00B12285">
      <w:pPr>
        <w:pStyle w:val="NormalWeb"/>
        <w:spacing w:beforeAutospacing="0" w:afterAutospacing="0" w:line="480" w:lineRule="auto"/>
        <w:rPr>
          <w:color w:val="0E101A"/>
        </w:rPr>
      </w:pPr>
    </w:p>
    <w:p w:rsidR="00B12285" w:rsidRDefault="00B12285">
      <w:pPr>
        <w:pStyle w:val="NormalWeb"/>
        <w:spacing w:beforeAutospacing="0" w:afterAutospacing="0" w:line="480" w:lineRule="auto"/>
        <w:rPr>
          <w:color w:val="0E101A"/>
        </w:rPr>
      </w:pPr>
    </w:p>
    <w:p w:rsidR="00B12285" w:rsidRDefault="00B12285">
      <w:pPr>
        <w:pStyle w:val="NormalWeb"/>
        <w:spacing w:beforeAutospacing="0" w:afterAutospacing="0" w:line="480" w:lineRule="auto"/>
        <w:rPr>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B12285">
      <w:pPr>
        <w:pStyle w:val="NormalWeb"/>
        <w:spacing w:beforeAutospacing="0" w:afterAutospacing="0" w:line="480" w:lineRule="auto"/>
        <w:rPr>
          <w:b/>
          <w:bCs/>
          <w:color w:val="0E101A"/>
        </w:rPr>
      </w:pPr>
    </w:p>
    <w:p w:rsidR="00B12285" w:rsidRDefault="00326700">
      <w:pPr>
        <w:pStyle w:val="NormalWeb"/>
        <w:spacing w:beforeAutospacing="0" w:afterAutospacing="0" w:line="480" w:lineRule="auto"/>
        <w:jc w:val="center"/>
        <w:rPr>
          <w:b/>
          <w:bCs/>
          <w:color w:val="0E101A"/>
        </w:rPr>
      </w:pPr>
      <w:r>
        <w:rPr>
          <w:b/>
          <w:bCs/>
          <w:color w:val="0E101A"/>
        </w:rPr>
        <w:lastRenderedPageBreak/>
        <w:t xml:space="preserve">Global Health Issue: </w:t>
      </w:r>
      <w:r>
        <w:rPr>
          <w:b/>
          <w:bCs/>
          <w:color w:val="0E101A"/>
        </w:rPr>
        <w:t>Malaria</w:t>
      </w:r>
    </w:p>
    <w:p w:rsidR="00B12285" w:rsidRDefault="00326700">
      <w:pPr>
        <w:pStyle w:val="NormalWeb"/>
        <w:spacing w:beforeAutospacing="0" w:afterAutospacing="0" w:line="480" w:lineRule="auto"/>
        <w:jc w:val="center"/>
        <w:rPr>
          <w:b/>
          <w:bCs/>
          <w:color w:val="0E101A"/>
        </w:rPr>
      </w:pPr>
      <w:r>
        <w:rPr>
          <w:b/>
          <w:bCs/>
          <w:color w:val="0E101A"/>
        </w:rPr>
        <w:t>Introduction</w:t>
      </w:r>
    </w:p>
    <w:p w:rsidR="00B12285" w:rsidRDefault="00326700">
      <w:pPr>
        <w:pStyle w:val="NormalWeb"/>
        <w:spacing w:beforeAutospacing="0" w:afterAutospacing="0" w:line="480" w:lineRule="auto"/>
        <w:ind w:firstLine="720"/>
        <w:rPr>
          <w:color w:val="0E101A"/>
        </w:rPr>
      </w:pPr>
      <w:r>
        <w:rPr>
          <w:color w:val="0E101A"/>
        </w:rPr>
        <w:t xml:space="preserve">Malaria is a parasitic disease borne from a mosquito bite. According to the CDC, about 200,000 cases of </w:t>
      </w:r>
      <w:r>
        <w:rPr>
          <w:color w:val="0E101A"/>
        </w:rPr>
        <w:t>malaria are diagnosed in the United States every year (CDC, 2021). Worldwide, cases of malaria diagnosed exceed 241 million. CDC estimates that about 627,000 people died of malaria in 2020 alone (CDC, 2021). From this population, children were the most aff</w:t>
      </w:r>
      <w:r>
        <w:rPr>
          <w:color w:val="0E101A"/>
        </w:rPr>
        <w:t>ected, especially from the sub-Saharan region in Africa. The World Health Organization (WHO) estimates that the Africa region has the highest prevalence of malaria cases around the world. </w:t>
      </w:r>
    </w:p>
    <w:p w:rsidR="00B12285" w:rsidRDefault="00326700">
      <w:pPr>
        <w:pStyle w:val="NormalWeb"/>
        <w:spacing w:beforeAutospacing="0" w:afterAutospacing="0" w:line="480" w:lineRule="auto"/>
        <w:jc w:val="center"/>
        <w:rPr>
          <w:b/>
          <w:bCs/>
          <w:color w:val="0E101A"/>
        </w:rPr>
      </w:pPr>
      <w:r>
        <w:rPr>
          <w:b/>
          <w:bCs/>
          <w:color w:val="0E101A"/>
        </w:rPr>
        <w:t>Contributing factors</w:t>
      </w:r>
    </w:p>
    <w:p w:rsidR="00B12285" w:rsidRDefault="00326700">
      <w:pPr>
        <w:pStyle w:val="NormalWeb"/>
        <w:spacing w:beforeAutospacing="0" w:afterAutospacing="0" w:line="480" w:lineRule="auto"/>
        <w:ind w:firstLine="720"/>
        <w:rPr>
          <w:color w:val="0E101A"/>
        </w:rPr>
      </w:pPr>
      <w:r>
        <w:rPr>
          <w:color w:val="0E101A"/>
        </w:rPr>
        <w:t>Malaria, in human beings, is caused by parasit</w:t>
      </w:r>
      <w:r>
        <w:rPr>
          <w:color w:val="0E101A"/>
        </w:rPr>
        <w:t>es such as </w:t>
      </w:r>
      <w:r>
        <w:rPr>
          <w:rStyle w:val="Emphasis"/>
          <w:color w:val="0E101A"/>
        </w:rPr>
        <w:t>Plasmodium falciparum</w:t>
      </w:r>
      <w:r>
        <w:rPr>
          <w:color w:val="0E101A"/>
        </w:rPr>
        <w:t> and </w:t>
      </w:r>
      <w:r>
        <w:rPr>
          <w:rStyle w:val="Emphasis"/>
          <w:color w:val="0E101A"/>
        </w:rPr>
        <w:t>Plasmodium vivax</w:t>
      </w:r>
      <w:r>
        <w:rPr>
          <w:color w:val="0E101A"/>
        </w:rPr>
        <w:t> (Kotepui et al., 2020). Therefore, the contributing factors are these two main parasites. </w:t>
      </w:r>
      <w:r>
        <w:rPr>
          <w:rStyle w:val="Emphasis"/>
          <w:color w:val="0E101A"/>
        </w:rPr>
        <w:t>P. falciparum</w:t>
      </w:r>
      <w:r>
        <w:rPr>
          <w:color w:val="0E101A"/>
        </w:rPr>
        <w:t> is commonly present in Africa while </w:t>
      </w:r>
      <w:r>
        <w:rPr>
          <w:rStyle w:val="Emphasis"/>
          <w:color w:val="0E101A"/>
        </w:rPr>
        <w:t>P. vivax</w:t>
      </w:r>
      <w:r>
        <w:rPr>
          <w:color w:val="0E101A"/>
        </w:rPr>
        <w:t> is commonly found in the South American region</w:t>
      </w:r>
      <w:r>
        <w:rPr>
          <w:color w:val="0E101A"/>
        </w:rPr>
        <w:t xml:space="preserve"> (</w:t>
      </w:r>
      <w:r>
        <w:rPr>
          <w:color w:val="222222"/>
          <w:shd w:val="clear" w:color="auto" w:fill="FFFFFF"/>
        </w:rPr>
        <w:t>Ntama</w:t>
      </w:r>
      <w:r>
        <w:rPr>
          <w:color w:val="222222"/>
          <w:shd w:val="clear" w:color="auto" w:fill="FFFFFF"/>
        </w:rPr>
        <w:t>byaliro</w:t>
      </w:r>
      <w:r>
        <w:rPr>
          <w:color w:val="222222"/>
          <w:shd w:val="clear" w:color="auto" w:fill="FFFFFF"/>
        </w:rPr>
        <w:t xml:space="preserve"> et al., 2018)</w:t>
      </w:r>
      <w:r>
        <w:rPr>
          <w:color w:val="0E101A"/>
        </w:rPr>
        <w:t xml:space="preserve">. Each of the parasites is responsible for malaria in their areas of preference. However, scholars agree that malaria is a global health issue affecting more than 200 million people every year and resulting in the death of more than </w:t>
      </w:r>
      <w:r>
        <w:rPr>
          <w:color w:val="0E101A"/>
        </w:rPr>
        <w:t>500, 000 people (Kotepui et al., 2020). As Belleza (2021) further explains, malaria is one of the leading infectious diseases known to affect the human population and result in mortality and morbidity around the world. However, the disease is predominantly</w:t>
      </w:r>
      <w:r>
        <w:rPr>
          <w:color w:val="0E101A"/>
        </w:rPr>
        <w:t xml:space="preserve"> present in Sub-Saharan Africa, Asia, and Latin America. According to Belleza (2021), malaria is predominant in these regions because the mosquitos (leading risk factor) that carry the parasite that causes the disease to reside in the regions. Apart from m</w:t>
      </w:r>
      <w:r>
        <w:rPr>
          <w:color w:val="0E101A"/>
        </w:rPr>
        <w:t xml:space="preserve">osquito bites, the other risk factors associated with malaria include blood transfusion and maternal transmission. However, as Kotepui et al. (2020) further </w:t>
      </w:r>
      <w:r>
        <w:rPr>
          <w:color w:val="0E101A"/>
        </w:rPr>
        <w:lastRenderedPageBreak/>
        <w:t xml:space="preserve">assert, these other risk factors have less frequent occurrences even though they are also known to </w:t>
      </w:r>
      <w:r>
        <w:rPr>
          <w:color w:val="0E101A"/>
        </w:rPr>
        <w:t>be associated with the risk of malaria. Other risk factors may include poor immunity and climate.</w:t>
      </w:r>
    </w:p>
    <w:p w:rsidR="00B12285" w:rsidRDefault="00326700">
      <w:pPr>
        <w:pStyle w:val="NormalWeb"/>
        <w:spacing w:beforeAutospacing="0" w:afterAutospacing="0" w:line="480" w:lineRule="auto"/>
        <w:jc w:val="center"/>
        <w:rPr>
          <w:b/>
          <w:bCs/>
          <w:color w:val="0E101A"/>
        </w:rPr>
      </w:pPr>
      <w:r>
        <w:rPr>
          <w:b/>
          <w:bCs/>
          <w:color w:val="0E101A"/>
        </w:rPr>
        <w:t>Prevention strategies</w:t>
      </w:r>
    </w:p>
    <w:p w:rsidR="00B12285" w:rsidRDefault="00326700">
      <w:pPr>
        <w:pStyle w:val="NormalWeb"/>
        <w:spacing w:beforeAutospacing="0" w:afterAutospacing="0" w:line="480" w:lineRule="auto"/>
        <w:ind w:firstLine="720"/>
        <w:rPr>
          <w:color w:val="0E101A"/>
        </w:rPr>
      </w:pPr>
      <w:r>
        <w:rPr>
          <w:color w:val="0E101A"/>
        </w:rPr>
        <w:t>The most effective preventive strategies include cleaning the environment and doing away with the stagnant waters and bushes that can se</w:t>
      </w:r>
      <w:r>
        <w:rPr>
          <w:color w:val="0E101A"/>
        </w:rPr>
        <w:t>rve as the breeding ground for mosquitos that carry the parasite causing malaria. As Belleza (2021) explains, the climate is a key determinant factor in both the geographical distribution and seasonality of the disease. As such, without sufficient water (r</w:t>
      </w:r>
      <w:r>
        <w:rPr>
          <w:color w:val="0E101A"/>
        </w:rPr>
        <w:t>ainfall), mosquitos cannot survive (Belleza, 2021). Therefore, preventing the breeding begins with ensuring that water around the homes is drained and bushes are cleared to remove any breeding ground for the parasite. Another prevention is through the mala</w:t>
      </w:r>
      <w:r>
        <w:rPr>
          <w:color w:val="0E101A"/>
        </w:rPr>
        <w:t>ria vaccine that was developed recently. </w:t>
      </w:r>
    </w:p>
    <w:p w:rsidR="00B12285" w:rsidRDefault="00326700">
      <w:pPr>
        <w:pStyle w:val="NormalWeb"/>
        <w:spacing w:beforeAutospacing="0" w:afterAutospacing="0" w:line="480" w:lineRule="auto"/>
        <w:jc w:val="center"/>
        <w:rPr>
          <w:b/>
          <w:bCs/>
          <w:color w:val="0E101A"/>
        </w:rPr>
      </w:pPr>
      <w:r>
        <w:rPr>
          <w:b/>
          <w:bCs/>
          <w:color w:val="0E101A"/>
        </w:rPr>
        <w:t>Signs and Symptoms</w:t>
      </w:r>
    </w:p>
    <w:p w:rsidR="00B12285" w:rsidRDefault="00326700">
      <w:pPr>
        <w:pStyle w:val="NormalWeb"/>
        <w:spacing w:beforeAutospacing="0" w:afterAutospacing="0" w:line="480" w:lineRule="auto"/>
        <w:ind w:firstLine="720"/>
        <w:rPr>
          <w:color w:val="0E101A"/>
        </w:rPr>
      </w:pPr>
      <w:r>
        <w:rPr>
          <w:color w:val="0E101A"/>
        </w:rPr>
        <w:t xml:space="preserve">Research has shown that classical malaria attacks can last between 6 to 10 hours and the signs and symptoms occur in three stages. The first stage (cold stage) involves the sensation of cold and </w:t>
      </w:r>
      <w:r>
        <w:rPr>
          <w:color w:val="0E101A"/>
        </w:rPr>
        <w:t xml:space="preserve">shivering (Belleza, 2021). The second stage (hot stage) involves fever, headaches, vomiting, and seizures (Belleza, 2021). This stage, often, manifests in young children and can lead to severe disease. The last stage (sweating stage), involves the patient </w:t>
      </w:r>
      <w:r>
        <w:rPr>
          <w:color w:val="0E101A"/>
        </w:rPr>
        <w:t>experiencing sweat, tiredness, and slow return to normal temperature (Belleza, 2021). </w:t>
      </w:r>
    </w:p>
    <w:p w:rsidR="00B12285" w:rsidRDefault="00326700">
      <w:pPr>
        <w:pStyle w:val="NormalWeb"/>
        <w:spacing w:beforeAutospacing="0" w:afterAutospacing="0" w:line="480" w:lineRule="auto"/>
        <w:jc w:val="center"/>
        <w:rPr>
          <w:b/>
          <w:bCs/>
          <w:color w:val="0E101A"/>
        </w:rPr>
      </w:pPr>
      <w:r>
        <w:rPr>
          <w:b/>
          <w:bCs/>
          <w:color w:val="0E101A"/>
        </w:rPr>
        <w:t>Diagnostic Tests</w:t>
      </w:r>
    </w:p>
    <w:p w:rsidR="00B12285" w:rsidRDefault="00326700">
      <w:pPr>
        <w:pStyle w:val="NormalWeb"/>
        <w:spacing w:beforeAutospacing="0" w:afterAutospacing="0" w:line="480" w:lineRule="auto"/>
        <w:ind w:firstLine="720"/>
        <w:rPr>
          <w:color w:val="0E101A"/>
        </w:rPr>
      </w:pPr>
      <w:r>
        <w:rPr>
          <w:color w:val="0E101A"/>
        </w:rPr>
        <w:t>Malaria is one of the diseases associated with high morbidity and mortality of the patients. Therefore, accurate and rapid diagnosis is critical inappro</w:t>
      </w:r>
      <w:r>
        <w:rPr>
          <w:color w:val="0E101A"/>
        </w:rPr>
        <w:t xml:space="preserve">priate treatment and prevention of further risks associated with the diseases such as community </w:t>
      </w:r>
      <w:r>
        <w:rPr>
          <w:color w:val="0E101A"/>
        </w:rPr>
        <w:lastRenderedPageBreak/>
        <w:t>transmission and infection. The following are some of the assessment and diagnostic tests for malaria. </w:t>
      </w:r>
    </w:p>
    <w:p w:rsidR="00B12285" w:rsidRDefault="00326700">
      <w:pPr>
        <w:pStyle w:val="NormalWeb"/>
        <w:spacing w:beforeAutospacing="0" w:afterAutospacing="0" w:line="480" w:lineRule="auto"/>
        <w:ind w:firstLine="720"/>
        <w:rPr>
          <w:color w:val="0E101A"/>
        </w:rPr>
      </w:pPr>
      <w:r>
        <w:rPr>
          <w:color w:val="0E101A"/>
        </w:rPr>
        <w:t>The first diagnostic test is blood smears, which is a mi</w:t>
      </w:r>
      <w:r>
        <w:rPr>
          <w:color w:val="0E101A"/>
        </w:rPr>
        <w:t>croscopic diagnosis. This test involves identifying the parasites on a thin or thick blood smear. Before the examination, the specimen is stained to provide the parasite with a distinctive appearance (CDC, 2021). Think smears, as Belleza (2021) explains, a</w:t>
      </w:r>
      <w:r>
        <w:rPr>
          <w:color w:val="0E101A"/>
        </w:rPr>
        <w:t>re 20 times more sensitive compared to thin smears. The second test is a rapid diagnostic test, which is an immunochromatographic test based on an antibody to histidine-rich protein-2, plasmodium aldolase, and parasite LDH (Belleza, 2021). This test can de</w:t>
      </w:r>
      <w:r>
        <w:rPr>
          <w:color w:val="0E101A"/>
        </w:rPr>
        <w:t>tect the parasite causing malaria such as </w:t>
      </w:r>
      <w:r>
        <w:rPr>
          <w:rStyle w:val="Emphasis"/>
          <w:color w:val="0E101A"/>
        </w:rPr>
        <w:t>P. falciparum</w:t>
      </w:r>
      <w:r>
        <w:rPr>
          <w:color w:val="0E101A"/>
        </w:rPr>
        <w:t> that are below the microscopic species identification. Currently, only BinaxNOW, a rapid diagnostic test, has been approved for the diagnosis of malaria in the United States. The other tests for malar</w:t>
      </w:r>
      <w:r>
        <w:rPr>
          <w:color w:val="0E101A"/>
        </w:rPr>
        <w:t>ia include molecular techniques such as PCR assay testing and nucleic acid sequence-based amplification (NASBA) (Belleza, 2021). </w:t>
      </w:r>
    </w:p>
    <w:p w:rsidR="00B12285" w:rsidRDefault="00326700">
      <w:pPr>
        <w:pStyle w:val="NormalWeb"/>
        <w:spacing w:beforeAutospacing="0" w:afterAutospacing="0" w:line="480" w:lineRule="auto"/>
        <w:jc w:val="center"/>
        <w:rPr>
          <w:b/>
          <w:bCs/>
          <w:color w:val="0E101A"/>
        </w:rPr>
      </w:pPr>
      <w:r>
        <w:rPr>
          <w:b/>
          <w:bCs/>
          <w:color w:val="0E101A"/>
        </w:rPr>
        <w:t>Advanced Practice Nursing Role and Management Strategies</w:t>
      </w:r>
    </w:p>
    <w:p w:rsidR="00B12285" w:rsidRDefault="00326700">
      <w:pPr>
        <w:pStyle w:val="NormalWeb"/>
        <w:spacing w:beforeAutospacing="0" w:afterAutospacing="0" w:line="480" w:lineRule="auto"/>
        <w:ind w:firstLine="720"/>
        <w:rPr>
          <w:color w:val="0E101A"/>
        </w:rPr>
      </w:pPr>
      <w:r>
        <w:rPr>
          <w:color w:val="0E101A"/>
        </w:rPr>
        <w:t>Advanced practice nursing role and management strategies include asse</w:t>
      </w:r>
      <w:r>
        <w:rPr>
          <w:color w:val="0E101A"/>
        </w:rPr>
        <w:t>ssment, diagnosis, nursing care planning and goals, and interventions. Each of these stages involves the practitioner’s responsibility in the management of malaria. For example, in nursing assessment, the practitioner collects data and history from the pat</w:t>
      </w:r>
      <w:r>
        <w:rPr>
          <w:color w:val="0E101A"/>
        </w:rPr>
        <w:t>ient. In the diagnosis stage, the practitioner identifies the risk for infection, hyperthermia, impaired tissue perfusion, and knowledge deficit. Nursing care planning and goals involve preventing infections, reducing increase temperature, improving tissue</w:t>
      </w:r>
      <w:r>
        <w:rPr>
          <w:color w:val="0E101A"/>
        </w:rPr>
        <w:t xml:space="preserve"> perfusion and fluid volume in the body. Nursing intervention strategies include improving perfusion and fluid volume, educating the patient and family, and monitoring the body temperature and administration of medication. </w:t>
      </w:r>
    </w:p>
    <w:p w:rsidR="00B12285" w:rsidRDefault="00326700">
      <w:pPr>
        <w:pStyle w:val="NormalWeb"/>
        <w:spacing w:beforeAutospacing="0" w:afterAutospacing="0" w:line="480" w:lineRule="auto"/>
        <w:jc w:val="center"/>
        <w:rPr>
          <w:b/>
          <w:bCs/>
          <w:color w:val="0E101A"/>
        </w:rPr>
      </w:pPr>
      <w:r>
        <w:rPr>
          <w:b/>
          <w:bCs/>
          <w:color w:val="0E101A"/>
        </w:rPr>
        <w:lastRenderedPageBreak/>
        <w:t>Medical/Pharmacological Manageme</w:t>
      </w:r>
      <w:r>
        <w:rPr>
          <w:b/>
          <w:bCs/>
          <w:color w:val="0E101A"/>
        </w:rPr>
        <w:t>nt</w:t>
      </w:r>
    </w:p>
    <w:p w:rsidR="00B12285" w:rsidRDefault="00326700">
      <w:pPr>
        <w:pStyle w:val="NormalWeb"/>
        <w:spacing w:beforeAutospacing="0" w:afterAutospacing="0" w:line="480" w:lineRule="auto"/>
        <w:ind w:firstLine="720"/>
        <w:rPr>
          <w:color w:val="0E101A"/>
        </w:rPr>
      </w:pPr>
      <w:r>
        <w:rPr>
          <w:color w:val="0E101A"/>
        </w:rPr>
        <w:t xml:space="preserve">The pharmacological management of malaria involves the use of four major drug categories (antimalarials) including quinoline-related compounds, antifolates, artemisinin derivatives, and antimicrobials (Belleza, 2021). There is no single medication that </w:t>
      </w:r>
      <w:r>
        <w:rPr>
          <w:color w:val="0E101A"/>
        </w:rPr>
        <w:t>can eradicate the disease-causing parasite’s life cycle has been developed. Antimalarials are agents that prevent the growth of parasites by concentrating within the acid vesicles of the parasite. The drugs further increase the internal body pH of the pers</w:t>
      </w:r>
      <w:r>
        <w:rPr>
          <w:color w:val="0E101A"/>
        </w:rPr>
        <w:t>on infected by malaria. Another role is that they also inhibit the hemoglobin utilization in the body and lead to parasite metabolism (Belleza, 2021). </w:t>
      </w:r>
    </w:p>
    <w:p w:rsidR="00B12285" w:rsidRDefault="00326700">
      <w:pPr>
        <w:pStyle w:val="NormalWeb"/>
        <w:spacing w:beforeAutospacing="0" w:afterAutospacing="0" w:line="480" w:lineRule="auto"/>
        <w:jc w:val="center"/>
        <w:rPr>
          <w:b/>
          <w:bCs/>
          <w:color w:val="0E101A"/>
        </w:rPr>
      </w:pPr>
      <w:r>
        <w:rPr>
          <w:b/>
          <w:bCs/>
          <w:color w:val="0E101A"/>
        </w:rPr>
        <w:t>Follow-Up</w:t>
      </w:r>
      <w:bookmarkStart w:id="0" w:name="_GoBack"/>
      <w:bookmarkEnd w:id="0"/>
    </w:p>
    <w:p w:rsidR="00B12285" w:rsidRDefault="00326700">
      <w:pPr>
        <w:pStyle w:val="NormalWeb"/>
        <w:spacing w:beforeAutospacing="0" w:afterAutospacing="0" w:line="480" w:lineRule="auto"/>
        <w:ind w:firstLine="720"/>
        <w:rPr>
          <w:color w:val="0E101A"/>
        </w:rPr>
      </w:pPr>
      <w:r>
        <w:rPr>
          <w:color w:val="0E101A"/>
        </w:rPr>
        <w:t>The follow-up period for malaria patients can vary depending on the victim’s severity and cond</w:t>
      </w:r>
      <w:r>
        <w:rPr>
          <w:color w:val="0E101A"/>
        </w:rPr>
        <w:t>ition. According to the WHO, a follow-up for 28 to 42 days is recommended to determine and assess the efficacy of antimalarial drugs for pregnant women (CDC, 2021). However, in severe cases of malaria, a follow-up should be done weekly up to four weeks aft</w:t>
      </w:r>
      <w:r>
        <w:rPr>
          <w:color w:val="0E101A"/>
        </w:rPr>
        <w:t>er the treatment has been initiated (CDC, 2021). </w:t>
      </w:r>
    </w:p>
    <w:p w:rsidR="00B12285" w:rsidRDefault="00326700">
      <w:pPr>
        <w:pStyle w:val="NormalWeb"/>
        <w:spacing w:beforeAutospacing="0" w:afterAutospacing="0" w:line="480" w:lineRule="auto"/>
        <w:jc w:val="center"/>
        <w:rPr>
          <w:b/>
          <w:bCs/>
          <w:color w:val="0E101A"/>
        </w:rPr>
      </w:pPr>
      <w:r>
        <w:rPr>
          <w:b/>
          <w:bCs/>
          <w:color w:val="0E101A"/>
        </w:rPr>
        <w:t>Conclusion</w:t>
      </w:r>
    </w:p>
    <w:p w:rsidR="00B12285" w:rsidRDefault="00326700">
      <w:pPr>
        <w:pStyle w:val="NormalWeb"/>
        <w:spacing w:beforeAutospacing="0" w:afterAutospacing="0" w:line="480" w:lineRule="auto"/>
        <w:ind w:firstLine="720"/>
        <w:rPr>
          <w:color w:val="0E101A"/>
        </w:rPr>
      </w:pPr>
      <w:r>
        <w:rPr>
          <w:color w:val="0E101A"/>
        </w:rPr>
        <w:t xml:space="preserve">Malaria has been identified as a global health issue. Many people in the malaria-prone areas in the Sub-Saharan region, Asia, and Central America (Latin America) are more exposed to the risks of </w:t>
      </w:r>
      <w:r>
        <w:rPr>
          <w:color w:val="0E101A"/>
        </w:rPr>
        <w:t>malaria because the parasite causing the disease resides in these regions. Prevention and management of malaria depend on the prompt diagnosis. Any delay in the diagnosis or treatment can result in the severe incidence of the disease and even death. </w:t>
      </w:r>
    </w:p>
    <w:p w:rsidR="00B12285" w:rsidRDefault="00B12285">
      <w:pPr>
        <w:ind w:firstLine="0"/>
        <w:rPr>
          <w:rFonts w:ascii="Times New Roman" w:hAnsi="Times New Roman" w:cs="Times New Roman"/>
          <w:sz w:val="24"/>
          <w:szCs w:val="24"/>
        </w:rPr>
      </w:pPr>
    </w:p>
    <w:p w:rsidR="00B12285" w:rsidRDefault="00B12285">
      <w:pPr>
        <w:ind w:firstLine="0"/>
        <w:rPr>
          <w:rFonts w:ascii="Times New Roman" w:hAnsi="Times New Roman" w:cs="Times New Roman"/>
          <w:sz w:val="24"/>
          <w:szCs w:val="24"/>
        </w:rPr>
      </w:pPr>
    </w:p>
    <w:p w:rsidR="00B12285" w:rsidRDefault="00326700">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w:t>
      </w:r>
      <w:r>
        <w:rPr>
          <w:rFonts w:ascii="Times New Roman" w:hAnsi="Times New Roman" w:cs="Times New Roman"/>
          <w:sz w:val="24"/>
          <w:szCs w:val="24"/>
        </w:rPr>
        <w:t>erences</w:t>
      </w:r>
    </w:p>
    <w:p w:rsidR="00B12285" w:rsidRDefault="00326700">
      <w:pPr>
        <w:ind w:left="720" w:hanging="720"/>
        <w:rPr>
          <w:rFonts w:ascii="Times New Roman" w:hAnsi="Times New Roman" w:cs="Times New Roman"/>
          <w:sz w:val="24"/>
          <w:szCs w:val="24"/>
        </w:rPr>
      </w:pPr>
      <w:r>
        <w:rPr>
          <w:rFonts w:ascii="Times New Roman" w:hAnsi="Times New Roman" w:cs="Times New Roman"/>
          <w:sz w:val="24"/>
          <w:szCs w:val="24"/>
        </w:rPr>
        <w:t xml:space="preserve">Belleza, M. (2021, February 11). “Malaria”. </w:t>
      </w:r>
      <w:r>
        <w:rPr>
          <w:rFonts w:ascii="Times New Roman" w:hAnsi="Times New Roman" w:cs="Times New Roman"/>
          <w:i/>
          <w:iCs/>
          <w:sz w:val="24"/>
          <w:szCs w:val="24"/>
        </w:rPr>
        <w:t>Nurselabs</w:t>
      </w:r>
      <w:r>
        <w:rPr>
          <w:rFonts w:ascii="Times New Roman" w:hAnsi="Times New Roman" w:cs="Times New Roman"/>
          <w:sz w:val="24"/>
          <w:szCs w:val="24"/>
        </w:rPr>
        <w:t>. https://nurseslabs.com/malaria/</w:t>
      </w:r>
    </w:p>
    <w:p w:rsidR="00B12285" w:rsidRDefault="00326700">
      <w:pPr>
        <w:ind w:left="720" w:hanging="720"/>
        <w:rPr>
          <w:rFonts w:ascii="Times New Roman" w:hAnsi="Times New Roman" w:cs="Times New Roman"/>
          <w:sz w:val="24"/>
          <w:szCs w:val="24"/>
        </w:rPr>
      </w:pPr>
      <w:r>
        <w:rPr>
          <w:rFonts w:ascii="Times New Roman" w:hAnsi="Times New Roman" w:cs="Times New Roman"/>
          <w:sz w:val="24"/>
          <w:szCs w:val="24"/>
        </w:rPr>
        <w:t xml:space="preserve">CDC. (2021, December 16). “Malaria.” </w:t>
      </w:r>
      <w:r>
        <w:rPr>
          <w:rFonts w:ascii="Times New Roman" w:hAnsi="Times New Roman" w:cs="Times New Roman"/>
          <w:i/>
          <w:iCs/>
          <w:sz w:val="24"/>
          <w:szCs w:val="24"/>
        </w:rPr>
        <w:t>Global Health, Division of Parasitic Disease and Malaria</w:t>
      </w:r>
      <w:r>
        <w:rPr>
          <w:rFonts w:ascii="Times New Roman" w:hAnsi="Times New Roman" w:cs="Times New Roman"/>
          <w:sz w:val="24"/>
          <w:szCs w:val="24"/>
        </w:rPr>
        <w:t xml:space="preserve">. </w:t>
      </w:r>
      <w:hyperlink r:id="rId8" w:history="1">
        <w:r>
          <w:rPr>
            <w:rStyle w:val="Hyperlink"/>
            <w:rFonts w:ascii="Times New Roman" w:hAnsi="Times New Roman" w:cs="Times New Roman"/>
            <w:sz w:val="24"/>
            <w:szCs w:val="24"/>
          </w:rPr>
          <w:t>https://www.cdc.gov/parasites/malaria/index.html</w:t>
        </w:r>
      </w:hyperlink>
    </w:p>
    <w:p w:rsidR="00B12285" w:rsidRDefault="00326700">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Kotepui, M., Kotepui, K. U., Milanez, G. D., &amp; Masangkay, F. R. (2020). Global prevalence and mortality of severe Plasmodium malariae infection: a systematic review and meta-analysis. </w:t>
      </w:r>
      <w:r>
        <w:rPr>
          <w:rFonts w:ascii="Times New Roman" w:eastAsia="SimSun" w:hAnsi="Times New Roman" w:cs="Times New Roman"/>
          <w:i/>
          <w:iCs/>
          <w:color w:val="222222"/>
          <w:sz w:val="24"/>
          <w:szCs w:val="24"/>
          <w:shd w:val="clear" w:color="auto" w:fill="FFFFFF"/>
        </w:rPr>
        <w:t>Malaria Journal</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19</w:t>
      </w:r>
      <w:r>
        <w:rPr>
          <w:rFonts w:ascii="Times New Roman" w:eastAsia="SimSun" w:hAnsi="Times New Roman" w:cs="Times New Roman"/>
          <w:color w:val="222222"/>
          <w:sz w:val="24"/>
          <w:szCs w:val="24"/>
          <w:shd w:val="clear" w:color="auto" w:fill="FFFFFF"/>
        </w:rPr>
        <w:t>(</w:t>
      </w:r>
      <w:r>
        <w:rPr>
          <w:rFonts w:ascii="Times New Roman" w:eastAsia="SimSun" w:hAnsi="Times New Roman" w:cs="Times New Roman"/>
          <w:color w:val="222222"/>
          <w:sz w:val="24"/>
          <w:szCs w:val="24"/>
          <w:shd w:val="clear" w:color="auto" w:fill="FFFFFF"/>
        </w:rPr>
        <w:t>1), 1-13.</w:t>
      </w:r>
    </w:p>
    <w:p w:rsidR="00B12285" w:rsidRDefault="00326700">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Ntamabyaliro, N. Y., Burri, C., Nzolo, D. B., Engo, A. B., Lula, Y. N., Mampunza, S. M., ... &amp; Tona, G. L. (2018). Drug use in the management of uncomplicated malaria in public health facilities in the Democratic Republic of the Congo. </w:t>
      </w:r>
      <w:r>
        <w:rPr>
          <w:rFonts w:ascii="Times New Roman" w:eastAsia="SimSun" w:hAnsi="Times New Roman" w:cs="Times New Roman"/>
          <w:i/>
          <w:iCs/>
          <w:color w:val="222222"/>
          <w:sz w:val="24"/>
          <w:szCs w:val="24"/>
          <w:shd w:val="clear" w:color="auto" w:fill="FFFFFF"/>
        </w:rPr>
        <w:t xml:space="preserve">Malaria </w:t>
      </w:r>
      <w:r>
        <w:rPr>
          <w:rFonts w:ascii="Times New Roman" w:eastAsia="SimSun" w:hAnsi="Times New Roman" w:cs="Times New Roman"/>
          <w:i/>
          <w:iCs/>
          <w:color w:val="222222"/>
          <w:sz w:val="24"/>
          <w:szCs w:val="24"/>
          <w:shd w:val="clear" w:color="auto" w:fill="FFFFFF"/>
        </w:rPr>
        <w:t>journal</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17</w:t>
      </w:r>
      <w:r>
        <w:rPr>
          <w:rFonts w:ascii="Times New Roman" w:eastAsia="SimSun" w:hAnsi="Times New Roman" w:cs="Times New Roman"/>
          <w:color w:val="222222"/>
          <w:sz w:val="24"/>
          <w:szCs w:val="24"/>
          <w:shd w:val="clear" w:color="auto" w:fill="FFFFFF"/>
        </w:rPr>
        <w:t>(1), 1-8.</w:t>
      </w:r>
    </w:p>
    <w:p w:rsidR="00B12285" w:rsidRDefault="00B12285">
      <w:pPr>
        <w:ind w:left="720" w:hanging="720"/>
        <w:rPr>
          <w:rFonts w:ascii="Times New Roman" w:hAnsi="Times New Roman" w:cs="Times New Roman"/>
          <w:sz w:val="24"/>
          <w:szCs w:val="24"/>
        </w:rPr>
      </w:pPr>
    </w:p>
    <w:p w:rsidR="00B12285" w:rsidRDefault="00B12285">
      <w:pPr>
        <w:ind w:firstLine="0"/>
        <w:rPr>
          <w:rFonts w:ascii="Times New Roman" w:hAnsi="Times New Roman" w:cs="Times New Roman"/>
          <w:sz w:val="24"/>
          <w:szCs w:val="24"/>
        </w:rPr>
      </w:pPr>
    </w:p>
    <w:sectPr w:rsidR="00B12285" w:rsidSect="00B12285">
      <w:headerReference w:type="default" r:id="rId9"/>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700" w:rsidRDefault="00326700">
      <w:pPr>
        <w:spacing w:line="240" w:lineRule="auto"/>
      </w:pPr>
      <w:r>
        <w:separator/>
      </w:r>
    </w:p>
  </w:endnote>
  <w:endnote w:type="continuationSeparator" w:id="1">
    <w:p w:rsidR="00326700" w:rsidRDefault="0032670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700" w:rsidRDefault="00326700">
      <w:r>
        <w:separator/>
      </w:r>
    </w:p>
  </w:footnote>
  <w:footnote w:type="continuationSeparator" w:id="1">
    <w:p w:rsidR="00326700" w:rsidRDefault="003267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85" w:rsidRDefault="00B12285">
    <w:pPr>
      <w:pStyle w:val="Header"/>
    </w:pPr>
    <w:r>
      <w:pict>
        <v:shapetype id="_x0000_t202" coordsize="21600,21600" o:spt="202" path="m,l,21600r21600,l21600,xe">
          <v:stroke joinstyle="miter"/>
          <v:path gradientshapeok="t" o:connecttype="rect"/>
        </v:shapetype>
        <v:shape id="_x0000_s1026" type="#_x0000_t202" style="position:absolute;left:0;text-align:left;margin-left:104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filled="f" stroked="f" strokeweight=".5pt">
          <v:textbox style="mso-fit-shape-to-text:t" inset="0,0,0,0">
            <w:txbxContent>
              <w:p w:rsidR="00B12285" w:rsidRDefault="00B12285">
                <w:pPr>
                  <w:pStyle w:val="Header"/>
                  <w:rPr>
                    <w:rFonts w:ascii="Times New Roman" w:hAnsi="Times New Roman" w:cs="Times New Roman"/>
                    <w:sz w:val="24"/>
                    <w:szCs w:val="24"/>
                  </w:rPr>
                </w:pPr>
                <w:r>
                  <w:rPr>
                    <w:rFonts w:ascii="Times New Roman" w:hAnsi="Times New Roman" w:cs="Times New Roman"/>
                    <w:sz w:val="24"/>
                    <w:szCs w:val="24"/>
                  </w:rPr>
                  <w:fldChar w:fldCharType="begin"/>
                </w:r>
                <w:r w:rsidR="00326700">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C7761">
                  <w:rPr>
                    <w:rFonts w:ascii="Times New Roman" w:hAnsi="Times New Roman" w:cs="Times New Roman"/>
                    <w:noProof/>
                    <w:sz w:val="24"/>
                    <w:szCs w:val="24"/>
                  </w:rPr>
                  <w:t>5</w:t>
                </w:r>
                <w:r>
                  <w:rPr>
                    <w:rFonts w:ascii="Times New Roman" w:hAnsi="Times New Roman" w:cs="Times New Roman"/>
                    <w:sz w:val="24"/>
                    <w:szCs w:val="24"/>
                  </w:rPr>
                  <w:fldChar w:fldCharType="end"/>
                </w:r>
              </w:p>
            </w:txbxContent>
          </v:textbox>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VerticalSpacing w:val="156"/>
  <w:noPunctuationKerning/>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200571A1"/>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26700"/>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C7761"/>
    <w:rsid w:val="009D3723"/>
    <w:rsid w:val="009E04F2"/>
    <w:rsid w:val="00A03B7B"/>
    <w:rsid w:val="00A200C9"/>
    <w:rsid w:val="00A250D5"/>
    <w:rsid w:val="00A32F56"/>
    <w:rsid w:val="00A36028"/>
    <w:rsid w:val="00A91424"/>
    <w:rsid w:val="00AA2C77"/>
    <w:rsid w:val="00AC3FB9"/>
    <w:rsid w:val="00AC702A"/>
    <w:rsid w:val="00AD226F"/>
    <w:rsid w:val="00B12285"/>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200571A1"/>
    <w:rsid w:val="553B3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4" w:qFormat="1"/>
    <w:lsdException w:name="index 5" w:qFormat="1"/>
    <w:lsdException w:name="index 6" w:qFormat="1"/>
    <w:lsdException w:name="index 7" w:qFormat="1"/>
    <w:lsdException w:name="annotation text" w:qFormat="1"/>
    <w:lsdException w:name="header" w:qFormat="1"/>
    <w:lsdException w:name="footer" w:qFormat="1"/>
    <w:lsdException w:name="index heading" w:qFormat="1"/>
    <w:lsdException w:name="caption" w:semiHidden="1" w:unhideWhenUsed="1" w:qFormat="1"/>
    <w:lsdException w:name="envelope return" w:qFormat="1"/>
    <w:lsdException w:name="footnote reference" w:qFormat="1"/>
    <w:lsdException w:name="annotation reference" w:qFormat="1"/>
    <w:lsdException w:name="line number" w:qFormat="1"/>
    <w:lsdException w:name="endnote text" w:qFormat="1"/>
    <w:lsdException w:name="List" w:qFormat="1"/>
    <w:lsdException w:name="List Bullet"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Title" w:qFormat="1"/>
    <w:lsdException w:name="Closing" w:qFormat="1"/>
    <w:lsdException w:name="Default Paragraph Font" w:semiHidden="1"/>
    <w:lsdException w:name="Body Text Indent"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3" w:qFormat="1"/>
    <w:lsdException w:name="Block Text"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Address"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285"/>
    <w:pPr>
      <w:spacing w:line="480" w:lineRule="auto"/>
      <w:ind w:firstLine="720"/>
    </w:pPr>
    <w:rPr>
      <w:rFonts w:asciiTheme="minorHAnsi" w:eastAsiaTheme="minorEastAsia" w:hAnsiTheme="minorHAnsi" w:cstheme="minorBidi"/>
      <w:lang w:eastAsia="zh-CN"/>
    </w:rPr>
  </w:style>
  <w:style w:type="paragraph" w:styleId="Heading1">
    <w:name w:val="heading 1"/>
    <w:basedOn w:val="Normal"/>
    <w:next w:val="Normal"/>
    <w:qFormat/>
    <w:rsid w:val="00B12285"/>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rsid w:val="00B12285"/>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rsid w:val="00B12285"/>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rsid w:val="00B12285"/>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rsid w:val="00B12285"/>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rsid w:val="00B12285"/>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rsid w:val="00B12285"/>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rsid w:val="00B12285"/>
    <w:pPr>
      <w:keepNext/>
      <w:keepLines/>
      <w:spacing w:before="240" w:after="64" w:line="320" w:lineRule="auto"/>
      <w:outlineLvl w:val="7"/>
    </w:pPr>
    <w:rPr>
      <w:sz w:val="24"/>
      <w:szCs w:val="24"/>
    </w:rPr>
  </w:style>
  <w:style w:type="paragraph" w:styleId="Heading9">
    <w:name w:val="heading 9"/>
    <w:basedOn w:val="Normal"/>
    <w:next w:val="Normal"/>
    <w:semiHidden/>
    <w:unhideWhenUsed/>
    <w:qFormat/>
    <w:rsid w:val="00B12285"/>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B12285"/>
    <w:rPr>
      <w:sz w:val="16"/>
      <w:szCs w:val="16"/>
    </w:rPr>
  </w:style>
  <w:style w:type="paragraph" w:styleId="BlockText">
    <w:name w:val="Block Text"/>
    <w:basedOn w:val="Normal"/>
    <w:qFormat/>
    <w:rsid w:val="00B12285"/>
    <w:pPr>
      <w:spacing w:after="120"/>
      <w:ind w:leftChars="700" w:left="1440" w:rightChars="700" w:right="1440"/>
    </w:pPr>
  </w:style>
  <w:style w:type="paragraph" w:styleId="BodyText">
    <w:name w:val="Body Text"/>
    <w:basedOn w:val="Normal"/>
    <w:rsid w:val="00B12285"/>
    <w:pPr>
      <w:spacing w:after="120"/>
    </w:pPr>
  </w:style>
  <w:style w:type="paragraph" w:styleId="BodyText2">
    <w:name w:val="Body Text 2"/>
    <w:basedOn w:val="Normal"/>
    <w:qFormat/>
    <w:rsid w:val="00B12285"/>
    <w:pPr>
      <w:spacing w:after="120"/>
    </w:pPr>
  </w:style>
  <w:style w:type="paragraph" w:styleId="BodyText3">
    <w:name w:val="Body Text 3"/>
    <w:basedOn w:val="Normal"/>
    <w:qFormat/>
    <w:rsid w:val="00B12285"/>
    <w:pPr>
      <w:spacing w:after="120"/>
    </w:pPr>
    <w:rPr>
      <w:sz w:val="16"/>
      <w:szCs w:val="16"/>
    </w:rPr>
  </w:style>
  <w:style w:type="paragraph" w:styleId="BodyTextFirstIndent">
    <w:name w:val="Body Text First Indent"/>
    <w:basedOn w:val="BodyText"/>
    <w:qFormat/>
    <w:rsid w:val="00B12285"/>
    <w:pPr>
      <w:ind w:firstLineChars="100" w:firstLine="420"/>
    </w:pPr>
  </w:style>
  <w:style w:type="paragraph" w:styleId="BodyTextIndent">
    <w:name w:val="Body Text Indent"/>
    <w:basedOn w:val="Normal"/>
    <w:qFormat/>
    <w:rsid w:val="00B12285"/>
    <w:pPr>
      <w:spacing w:after="120"/>
      <w:ind w:leftChars="200" w:left="420"/>
    </w:pPr>
  </w:style>
  <w:style w:type="paragraph" w:styleId="BodyTextFirstIndent2">
    <w:name w:val="Body Text First Indent 2"/>
    <w:basedOn w:val="BodyTextIndent"/>
    <w:qFormat/>
    <w:rsid w:val="00B12285"/>
    <w:pPr>
      <w:ind w:firstLineChars="200" w:firstLine="420"/>
    </w:pPr>
  </w:style>
  <w:style w:type="paragraph" w:styleId="BodyTextIndent2">
    <w:name w:val="Body Text Indent 2"/>
    <w:basedOn w:val="Normal"/>
    <w:rsid w:val="00B12285"/>
    <w:pPr>
      <w:spacing w:after="120"/>
      <w:ind w:leftChars="200" w:left="420"/>
    </w:pPr>
  </w:style>
  <w:style w:type="paragraph" w:styleId="BodyTextIndent3">
    <w:name w:val="Body Text Indent 3"/>
    <w:basedOn w:val="Normal"/>
    <w:qFormat/>
    <w:rsid w:val="00B12285"/>
    <w:pPr>
      <w:spacing w:after="120"/>
      <w:ind w:leftChars="200" w:left="420"/>
    </w:pPr>
    <w:rPr>
      <w:sz w:val="16"/>
      <w:szCs w:val="16"/>
    </w:rPr>
  </w:style>
  <w:style w:type="paragraph" w:styleId="Caption">
    <w:name w:val="caption"/>
    <w:basedOn w:val="Normal"/>
    <w:next w:val="Normal"/>
    <w:semiHidden/>
    <w:unhideWhenUsed/>
    <w:qFormat/>
    <w:rsid w:val="00B12285"/>
    <w:rPr>
      <w:rFonts w:ascii="Arial" w:eastAsia="SimHei" w:hAnsi="Arial" w:cs="Arial"/>
    </w:rPr>
  </w:style>
  <w:style w:type="paragraph" w:styleId="Closing">
    <w:name w:val="Closing"/>
    <w:basedOn w:val="Normal"/>
    <w:qFormat/>
    <w:rsid w:val="00B12285"/>
    <w:pPr>
      <w:ind w:leftChars="2100" w:left="100"/>
    </w:pPr>
  </w:style>
  <w:style w:type="character" w:styleId="CommentReference">
    <w:name w:val="annotation reference"/>
    <w:basedOn w:val="DefaultParagraphFont"/>
    <w:qFormat/>
    <w:rsid w:val="00B12285"/>
    <w:rPr>
      <w:sz w:val="21"/>
      <w:szCs w:val="21"/>
    </w:rPr>
  </w:style>
  <w:style w:type="paragraph" w:styleId="CommentText">
    <w:name w:val="annotation text"/>
    <w:basedOn w:val="Normal"/>
    <w:qFormat/>
    <w:rsid w:val="00B12285"/>
  </w:style>
  <w:style w:type="paragraph" w:styleId="CommentSubject">
    <w:name w:val="annotation subject"/>
    <w:basedOn w:val="CommentText"/>
    <w:next w:val="CommentText"/>
    <w:qFormat/>
    <w:rsid w:val="00B12285"/>
    <w:rPr>
      <w:b/>
      <w:bCs/>
    </w:rPr>
  </w:style>
  <w:style w:type="paragraph" w:styleId="Date">
    <w:name w:val="Date"/>
    <w:basedOn w:val="Normal"/>
    <w:next w:val="Normal"/>
    <w:qFormat/>
    <w:rsid w:val="00B12285"/>
    <w:pPr>
      <w:ind w:leftChars="2500" w:left="100"/>
    </w:pPr>
  </w:style>
  <w:style w:type="paragraph" w:styleId="DocumentMap">
    <w:name w:val="Document Map"/>
    <w:basedOn w:val="Normal"/>
    <w:rsid w:val="00B12285"/>
    <w:pPr>
      <w:shd w:val="clear" w:color="auto" w:fill="000080"/>
    </w:pPr>
  </w:style>
  <w:style w:type="paragraph" w:styleId="E-mailSignature">
    <w:name w:val="E-mail Signature"/>
    <w:basedOn w:val="Normal"/>
    <w:rsid w:val="00B12285"/>
  </w:style>
  <w:style w:type="character" w:styleId="Emphasis">
    <w:name w:val="Emphasis"/>
    <w:basedOn w:val="DefaultParagraphFont"/>
    <w:qFormat/>
    <w:rsid w:val="00B12285"/>
    <w:rPr>
      <w:i/>
      <w:iCs/>
    </w:rPr>
  </w:style>
  <w:style w:type="character" w:styleId="EndnoteReference">
    <w:name w:val="endnote reference"/>
    <w:basedOn w:val="DefaultParagraphFont"/>
    <w:rsid w:val="00B12285"/>
    <w:rPr>
      <w:vertAlign w:val="superscript"/>
    </w:rPr>
  </w:style>
  <w:style w:type="paragraph" w:styleId="EndnoteText">
    <w:name w:val="endnote text"/>
    <w:basedOn w:val="Normal"/>
    <w:qFormat/>
    <w:rsid w:val="00B12285"/>
    <w:pPr>
      <w:snapToGrid w:val="0"/>
    </w:pPr>
  </w:style>
  <w:style w:type="paragraph" w:styleId="EnvelopeAddress">
    <w:name w:val="envelope address"/>
    <w:basedOn w:val="Normal"/>
    <w:rsid w:val="00B12285"/>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B12285"/>
    <w:pPr>
      <w:snapToGrid w:val="0"/>
    </w:pPr>
    <w:rPr>
      <w:rFonts w:ascii="Arial" w:hAnsi="Arial" w:cs="Arial"/>
    </w:rPr>
  </w:style>
  <w:style w:type="character" w:styleId="FollowedHyperlink">
    <w:name w:val="FollowedHyperlink"/>
    <w:basedOn w:val="DefaultParagraphFont"/>
    <w:qFormat/>
    <w:rsid w:val="00B12285"/>
    <w:rPr>
      <w:color w:val="800080"/>
      <w:u w:val="single"/>
    </w:rPr>
  </w:style>
  <w:style w:type="paragraph" w:styleId="Footer">
    <w:name w:val="footer"/>
    <w:basedOn w:val="Normal"/>
    <w:qFormat/>
    <w:rsid w:val="00B12285"/>
    <w:pPr>
      <w:tabs>
        <w:tab w:val="center" w:pos="4153"/>
        <w:tab w:val="right" w:pos="8306"/>
      </w:tabs>
      <w:snapToGrid w:val="0"/>
    </w:pPr>
    <w:rPr>
      <w:sz w:val="18"/>
      <w:szCs w:val="18"/>
    </w:rPr>
  </w:style>
  <w:style w:type="character" w:styleId="FootnoteReference">
    <w:name w:val="footnote reference"/>
    <w:basedOn w:val="DefaultParagraphFont"/>
    <w:qFormat/>
    <w:rsid w:val="00B12285"/>
    <w:rPr>
      <w:vertAlign w:val="superscript"/>
    </w:rPr>
  </w:style>
  <w:style w:type="paragraph" w:styleId="FootnoteText">
    <w:name w:val="footnote text"/>
    <w:basedOn w:val="Normal"/>
    <w:rsid w:val="00B12285"/>
    <w:pPr>
      <w:snapToGrid w:val="0"/>
    </w:pPr>
    <w:rPr>
      <w:sz w:val="18"/>
      <w:szCs w:val="18"/>
    </w:rPr>
  </w:style>
  <w:style w:type="paragraph" w:styleId="Header">
    <w:name w:val="header"/>
    <w:basedOn w:val="Normal"/>
    <w:qFormat/>
    <w:rsid w:val="00B12285"/>
    <w:pPr>
      <w:tabs>
        <w:tab w:val="center" w:pos="4153"/>
        <w:tab w:val="right" w:pos="8306"/>
      </w:tabs>
      <w:snapToGrid w:val="0"/>
    </w:pPr>
    <w:rPr>
      <w:sz w:val="18"/>
      <w:szCs w:val="18"/>
    </w:rPr>
  </w:style>
  <w:style w:type="character" w:styleId="HTMLAcronym">
    <w:name w:val="HTML Acronym"/>
    <w:basedOn w:val="DefaultParagraphFont"/>
    <w:rsid w:val="00B12285"/>
  </w:style>
  <w:style w:type="paragraph" w:styleId="HTMLAddress">
    <w:name w:val="HTML Address"/>
    <w:basedOn w:val="Normal"/>
    <w:qFormat/>
    <w:rsid w:val="00B12285"/>
    <w:rPr>
      <w:i/>
      <w:iCs/>
    </w:rPr>
  </w:style>
  <w:style w:type="character" w:styleId="HTMLCite">
    <w:name w:val="HTML Cite"/>
    <w:basedOn w:val="DefaultParagraphFont"/>
    <w:rsid w:val="00B12285"/>
    <w:rPr>
      <w:i/>
      <w:iCs/>
    </w:rPr>
  </w:style>
  <w:style w:type="character" w:styleId="HTMLCode">
    <w:name w:val="HTML Code"/>
    <w:basedOn w:val="DefaultParagraphFont"/>
    <w:qFormat/>
    <w:rsid w:val="00B12285"/>
    <w:rPr>
      <w:rFonts w:ascii="Courier New" w:hAnsi="Courier New" w:cs="Courier New"/>
      <w:sz w:val="20"/>
      <w:szCs w:val="20"/>
    </w:rPr>
  </w:style>
  <w:style w:type="character" w:styleId="HTMLDefinition">
    <w:name w:val="HTML Definition"/>
    <w:basedOn w:val="DefaultParagraphFont"/>
    <w:qFormat/>
    <w:rsid w:val="00B12285"/>
    <w:rPr>
      <w:i/>
      <w:iCs/>
    </w:rPr>
  </w:style>
  <w:style w:type="character" w:styleId="HTMLKeyboard">
    <w:name w:val="HTML Keyboard"/>
    <w:basedOn w:val="DefaultParagraphFont"/>
    <w:qFormat/>
    <w:rsid w:val="00B12285"/>
    <w:rPr>
      <w:rFonts w:ascii="Courier New" w:hAnsi="Courier New" w:cs="Courier New"/>
      <w:sz w:val="20"/>
      <w:szCs w:val="20"/>
    </w:rPr>
  </w:style>
  <w:style w:type="paragraph" w:styleId="HTMLPreformatted">
    <w:name w:val="HTML Preformatted"/>
    <w:basedOn w:val="Normal"/>
    <w:qFormat/>
    <w:rsid w:val="00B12285"/>
    <w:rPr>
      <w:rFonts w:ascii="Courier New" w:hAnsi="Courier New" w:cs="Courier New"/>
    </w:rPr>
  </w:style>
  <w:style w:type="character" w:styleId="HTMLSample">
    <w:name w:val="HTML Sample"/>
    <w:basedOn w:val="DefaultParagraphFont"/>
    <w:qFormat/>
    <w:rsid w:val="00B12285"/>
    <w:rPr>
      <w:rFonts w:ascii="Courier New" w:hAnsi="Courier New" w:cs="Courier New"/>
    </w:rPr>
  </w:style>
  <w:style w:type="character" w:styleId="HTMLTypewriter">
    <w:name w:val="HTML Typewriter"/>
    <w:basedOn w:val="DefaultParagraphFont"/>
    <w:qFormat/>
    <w:rsid w:val="00B12285"/>
    <w:rPr>
      <w:rFonts w:ascii="Courier New" w:hAnsi="Courier New" w:cs="Courier New"/>
      <w:sz w:val="20"/>
      <w:szCs w:val="20"/>
    </w:rPr>
  </w:style>
  <w:style w:type="character" w:styleId="HTMLVariable">
    <w:name w:val="HTML Variable"/>
    <w:basedOn w:val="DefaultParagraphFont"/>
    <w:qFormat/>
    <w:rsid w:val="00B12285"/>
    <w:rPr>
      <w:i/>
      <w:iCs/>
    </w:rPr>
  </w:style>
  <w:style w:type="character" w:styleId="Hyperlink">
    <w:name w:val="Hyperlink"/>
    <w:basedOn w:val="DefaultParagraphFont"/>
    <w:rsid w:val="00B12285"/>
    <w:rPr>
      <w:color w:val="0000FF"/>
      <w:u w:val="single"/>
    </w:rPr>
  </w:style>
  <w:style w:type="paragraph" w:styleId="Index1">
    <w:name w:val="index 1"/>
    <w:basedOn w:val="Normal"/>
    <w:next w:val="Normal"/>
    <w:qFormat/>
    <w:rsid w:val="00B12285"/>
  </w:style>
  <w:style w:type="paragraph" w:styleId="Index2">
    <w:name w:val="index 2"/>
    <w:basedOn w:val="Normal"/>
    <w:next w:val="Normal"/>
    <w:rsid w:val="00B12285"/>
    <w:pPr>
      <w:ind w:leftChars="200" w:left="200"/>
    </w:pPr>
  </w:style>
  <w:style w:type="paragraph" w:styleId="Index3">
    <w:name w:val="index 3"/>
    <w:basedOn w:val="Normal"/>
    <w:next w:val="Normal"/>
    <w:rsid w:val="00B12285"/>
    <w:pPr>
      <w:ind w:leftChars="400" w:left="400"/>
    </w:pPr>
  </w:style>
  <w:style w:type="paragraph" w:styleId="Index4">
    <w:name w:val="index 4"/>
    <w:basedOn w:val="Normal"/>
    <w:next w:val="Normal"/>
    <w:qFormat/>
    <w:rsid w:val="00B12285"/>
    <w:pPr>
      <w:ind w:leftChars="600" w:left="600"/>
    </w:pPr>
  </w:style>
  <w:style w:type="paragraph" w:styleId="Index5">
    <w:name w:val="index 5"/>
    <w:basedOn w:val="Normal"/>
    <w:next w:val="Normal"/>
    <w:qFormat/>
    <w:rsid w:val="00B12285"/>
    <w:pPr>
      <w:ind w:leftChars="800" w:left="800"/>
    </w:pPr>
  </w:style>
  <w:style w:type="paragraph" w:styleId="Index6">
    <w:name w:val="index 6"/>
    <w:basedOn w:val="Normal"/>
    <w:next w:val="Normal"/>
    <w:qFormat/>
    <w:rsid w:val="00B12285"/>
    <w:pPr>
      <w:ind w:leftChars="1000" w:left="1000"/>
    </w:pPr>
  </w:style>
  <w:style w:type="paragraph" w:styleId="Index7">
    <w:name w:val="index 7"/>
    <w:basedOn w:val="Normal"/>
    <w:next w:val="Normal"/>
    <w:qFormat/>
    <w:rsid w:val="00B12285"/>
    <w:pPr>
      <w:ind w:leftChars="1200" w:left="1200"/>
    </w:pPr>
  </w:style>
  <w:style w:type="paragraph" w:styleId="Index8">
    <w:name w:val="index 8"/>
    <w:basedOn w:val="Normal"/>
    <w:next w:val="Normal"/>
    <w:rsid w:val="00B12285"/>
    <w:pPr>
      <w:ind w:leftChars="1400" w:left="1400"/>
    </w:pPr>
  </w:style>
  <w:style w:type="paragraph" w:styleId="Index9">
    <w:name w:val="index 9"/>
    <w:basedOn w:val="Normal"/>
    <w:next w:val="Normal"/>
    <w:rsid w:val="00B12285"/>
    <w:pPr>
      <w:ind w:leftChars="1600" w:left="1600"/>
    </w:pPr>
  </w:style>
  <w:style w:type="paragraph" w:styleId="IndexHeading">
    <w:name w:val="index heading"/>
    <w:basedOn w:val="Normal"/>
    <w:next w:val="Index1"/>
    <w:qFormat/>
    <w:rsid w:val="00B12285"/>
    <w:rPr>
      <w:rFonts w:ascii="Arial" w:hAnsi="Arial" w:cs="Arial"/>
      <w:b/>
      <w:bCs/>
    </w:rPr>
  </w:style>
  <w:style w:type="character" w:styleId="LineNumber">
    <w:name w:val="line number"/>
    <w:basedOn w:val="DefaultParagraphFont"/>
    <w:qFormat/>
    <w:rsid w:val="00B12285"/>
  </w:style>
  <w:style w:type="paragraph" w:styleId="List">
    <w:name w:val="List"/>
    <w:basedOn w:val="Normal"/>
    <w:qFormat/>
    <w:rsid w:val="00B12285"/>
    <w:pPr>
      <w:ind w:left="200" w:hangingChars="200" w:hanging="200"/>
    </w:pPr>
  </w:style>
  <w:style w:type="paragraph" w:styleId="List2">
    <w:name w:val="List 2"/>
    <w:basedOn w:val="Normal"/>
    <w:rsid w:val="00B12285"/>
    <w:pPr>
      <w:ind w:leftChars="200" w:left="100" w:hangingChars="200" w:hanging="200"/>
    </w:pPr>
  </w:style>
  <w:style w:type="paragraph" w:styleId="List3">
    <w:name w:val="List 3"/>
    <w:basedOn w:val="Normal"/>
    <w:qFormat/>
    <w:rsid w:val="00B12285"/>
    <w:pPr>
      <w:ind w:leftChars="400" w:left="100" w:hangingChars="200" w:hanging="200"/>
    </w:pPr>
  </w:style>
  <w:style w:type="paragraph" w:styleId="List4">
    <w:name w:val="List 4"/>
    <w:basedOn w:val="Normal"/>
    <w:qFormat/>
    <w:rsid w:val="00B12285"/>
    <w:pPr>
      <w:ind w:leftChars="600" w:left="100" w:hangingChars="200" w:hanging="200"/>
    </w:pPr>
  </w:style>
  <w:style w:type="paragraph" w:styleId="List5">
    <w:name w:val="List 5"/>
    <w:basedOn w:val="Normal"/>
    <w:qFormat/>
    <w:rsid w:val="00B12285"/>
    <w:pPr>
      <w:ind w:leftChars="800" w:left="100" w:hangingChars="200" w:hanging="200"/>
    </w:pPr>
  </w:style>
  <w:style w:type="paragraph" w:styleId="ListBullet">
    <w:name w:val="List Bullet"/>
    <w:basedOn w:val="Normal"/>
    <w:qFormat/>
    <w:rsid w:val="00B12285"/>
    <w:pPr>
      <w:numPr>
        <w:numId w:val="1"/>
      </w:numPr>
    </w:pPr>
  </w:style>
  <w:style w:type="paragraph" w:styleId="ListBullet2">
    <w:name w:val="List Bullet 2"/>
    <w:basedOn w:val="Normal"/>
    <w:qFormat/>
    <w:rsid w:val="00B12285"/>
    <w:pPr>
      <w:numPr>
        <w:numId w:val="2"/>
      </w:numPr>
    </w:pPr>
  </w:style>
  <w:style w:type="paragraph" w:styleId="ListBullet3">
    <w:name w:val="List Bullet 3"/>
    <w:basedOn w:val="Normal"/>
    <w:qFormat/>
    <w:rsid w:val="00B12285"/>
    <w:pPr>
      <w:numPr>
        <w:numId w:val="3"/>
      </w:numPr>
    </w:pPr>
  </w:style>
  <w:style w:type="paragraph" w:styleId="ListBullet4">
    <w:name w:val="List Bullet 4"/>
    <w:basedOn w:val="Normal"/>
    <w:qFormat/>
    <w:rsid w:val="00B12285"/>
    <w:pPr>
      <w:numPr>
        <w:numId w:val="4"/>
      </w:numPr>
    </w:pPr>
  </w:style>
  <w:style w:type="paragraph" w:styleId="ListBullet5">
    <w:name w:val="List Bullet 5"/>
    <w:basedOn w:val="Normal"/>
    <w:qFormat/>
    <w:rsid w:val="00B12285"/>
    <w:pPr>
      <w:numPr>
        <w:numId w:val="5"/>
      </w:numPr>
    </w:pPr>
  </w:style>
  <w:style w:type="paragraph" w:styleId="ListContinue">
    <w:name w:val="List Continue"/>
    <w:basedOn w:val="Normal"/>
    <w:rsid w:val="00B12285"/>
    <w:pPr>
      <w:spacing w:after="120"/>
      <w:ind w:leftChars="200" w:left="420"/>
    </w:pPr>
  </w:style>
  <w:style w:type="paragraph" w:styleId="ListContinue2">
    <w:name w:val="List Continue 2"/>
    <w:basedOn w:val="Normal"/>
    <w:rsid w:val="00B12285"/>
    <w:pPr>
      <w:spacing w:after="120"/>
      <w:ind w:leftChars="400" w:left="840"/>
    </w:pPr>
  </w:style>
  <w:style w:type="paragraph" w:styleId="ListContinue3">
    <w:name w:val="List Continue 3"/>
    <w:basedOn w:val="Normal"/>
    <w:rsid w:val="00B12285"/>
    <w:pPr>
      <w:spacing w:after="120"/>
      <w:ind w:leftChars="600" w:left="1260"/>
    </w:pPr>
  </w:style>
  <w:style w:type="paragraph" w:styleId="ListContinue4">
    <w:name w:val="List Continue 4"/>
    <w:basedOn w:val="Normal"/>
    <w:rsid w:val="00B12285"/>
    <w:pPr>
      <w:spacing w:after="120"/>
      <w:ind w:leftChars="800" w:left="1680"/>
    </w:pPr>
  </w:style>
  <w:style w:type="paragraph" w:styleId="ListContinue5">
    <w:name w:val="List Continue 5"/>
    <w:basedOn w:val="Normal"/>
    <w:rsid w:val="00B12285"/>
    <w:pPr>
      <w:spacing w:after="120"/>
      <w:ind w:leftChars="1000" w:left="2100"/>
    </w:pPr>
  </w:style>
  <w:style w:type="paragraph" w:styleId="ListNumber">
    <w:name w:val="List Number"/>
    <w:basedOn w:val="Normal"/>
    <w:rsid w:val="00B12285"/>
    <w:pPr>
      <w:numPr>
        <w:numId w:val="6"/>
      </w:numPr>
    </w:pPr>
  </w:style>
  <w:style w:type="paragraph" w:styleId="ListNumber2">
    <w:name w:val="List Number 2"/>
    <w:basedOn w:val="Normal"/>
    <w:rsid w:val="00B12285"/>
    <w:pPr>
      <w:numPr>
        <w:numId w:val="7"/>
      </w:numPr>
    </w:pPr>
  </w:style>
  <w:style w:type="paragraph" w:styleId="ListNumber3">
    <w:name w:val="List Number 3"/>
    <w:basedOn w:val="Normal"/>
    <w:rsid w:val="00B12285"/>
    <w:pPr>
      <w:numPr>
        <w:numId w:val="8"/>
      </w:numPr>
    </w:pPr>
  </w:style>
  <w:style w:type="paragraph" w:styleId="ListNumber4">
    <w:name w:val="List Number 4"/>
    <w:basedOn w:val="Normal"/>
    <w:rsid w:val="00B12285"/>
    <w:pPr>
      <w:numPr>
        <w:numId w:val="9"/>
      </w:numPr>
    </w:pPr>
  </w:style>
  <w:style w:type="paragraph" w:styleId="ListNumber5">
    <w:name w:val="List Number 5"/>
    <w:basedOn w:val="Normal"/>
    <w:rsid w:val="00B12285"/>
    <w:pPr>
      <w:numPr>
        <w:numId w:val="10"/>
      </w:numPr>
    </w:pPr>
  </w:style>
  <w:style w:type="paragraph" w:styleId="MacroText">
    <w:name w:val="macro"/>
    <w:rsid w:val="00B1228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eastAsia="zh-CN"/>
    </w:rPr>
  </w:style>
  <w:style w:type="paragraph" w:styleId="MessageHeader">
    <w:name w:val="Message Header"/>
    <w:basedOn w:val="Normal"/>
    <w:rsid w:val="00B12285"/>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rsid w:val="00B12285"/>
    <w:pPr>
      <w:spacing w:beforeAutospacing="1" w:afterAutospacing="1"/>
    </w:pPr>
    <w:rPr>
      <w:sz w:val="24"/>
      <w:szCs w:val="24"/>
      <w:lang w:eastAsia="zh-CN"/>
    </w:rPr>
  </w:style>
  <w:style w:type="paragraph" w:styleId="NormalIndent">
    <w:name w:val="Normal Indent"/>
    <w:basedOn w:val="Normal"/>
    <w:rsid w:val="00B12285"/>
    <w:pPr>
      <w:ind w:firstLineChars="200" w:firstLine="420"/>
    </w:pPr>
  </w:style>
  <w:style w:type="paragraph" w:styleId="NoteHeading">
    <w:name w:val="Note Heading"/>
    <w:basedOn w:val="Normal"/>
    <w:next w:val="Normal"/>
    <w:rsid w:val="00B12285"/>
    <w:pPr>
      <w:jc w:val="center"/>
    </w:pPr>
  </w:style>
  <w:style w:type="character" w:styleId="PageNumber">
    <w:name w:val="page number"/>
    <w:basedOn w:val="DefaultParagraphFont"/>
    <w:rsid w:val="00B12285"/>
  </w:style>
  <w:style w:type="paragraph" w:styleId="PlainText">
    <w:name w:val="Plain Text"/>
    <w:basedOn w:val="Normal"/>
    <w:rsid w:val="00B12285"/>
    <w:rPr>
      <w:rFonts w:ascii="SimSun" w:hAnsi="Courier New" w:cs="Courier New"/>
      <w:szCs w:val="21"/>
    </w:rPr>
  </w:style>
  <w:style w:type="paragraph" w:styleId="Salutation">
    <w:name w:val="Salutation"/>
    <w:basedOn w:val="Normal"/>
    <w:next w:val="Normal"/>
    <w:rsid w:val="00B12285"/>
  </w:style>
  <w:style w:type="paragraph" w:styleId="Signature">
    <w:name w:val="Signature"/>
    <w:basedOn w:val="Normal"/>
    <w:rsid w:val="00B12285"/>
    <w:pPr>
      <w:ind w:leftChars="2100" w:left="100"/>
    </w:pPr>
  </w:style>
  <w:style w:type="character" w:styleId="Strong">
    <w:name w:val="Strong"/>
    <w:basedOn w:val="DefaultParagraphFont"/>
    <w:qFormat/>
    <w:rsid w:val="00B12285"/>
    <w:rPr>
      <w:b/>
      <w:bCs/>
    </w:rPr>
  </w:style>
  <w:style w:type="paragraph" w:styleId="Subtitle">
    <w:name w:val="Subtitle"/>
    <w:basedOn w:val="Normal"/>
    <w:qFormat/>
    <w:rsid w:val="00B12285"/>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rsid w:val="00B12285"/>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rsid w:val="00B12285"/>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rsid w:val="00B12285"/>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rsid w:val="00B12285"/>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B12285"/>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sid w:val="00B12285"/>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B12285"/>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B12285"/>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B12285"/>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rsid w:val="00B12285"/>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rsid w:val="00B12285"/>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B12285"/>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rsid w:val="00B12285"/>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rsid w:val="00B12285"/>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12285"/>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12285"/>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B12285"/>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rsid w:val="00B1228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sid w:val="00B12285"/>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rsid w:val="00B12285"/>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rsid w:val="00B12285"/>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rsid w:val="00B12285"/>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rsid w:val="00B12285"/>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rsid w:val="00B12285"/>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rsid w:val="00B12285"/>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rsid w:val="00B12285"/>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rsid w:val="00B12285"/>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rsid w:val="00B12285"/>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rsid w:val="00B12285"/>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rsid w:val="00B12285"/>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rsid w:val="00B12285"/>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rsid w:val="00B12285"/>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rsid w:val="00B12285"/>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rsid w:val="00B12285"/>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rsid w:val="00B12285"/>
    <w:pPr>
      <w:ind w:leftChars="200" w:left="420"/>
    </w:pPr>
  </w:style>
  <w:style w:type="paragraph" w:styleId="TableofFigures">
    <w:name w:val="table of figures"/>
    <w:basedOn w:val="Normal"/>
    <w:next w:val="Normal"/>
    <w:rsid w:val="00B12285"/>
    <w:pPr>
      <w:ind w:leftChars="200" w:left="200" w:hangingChars="200" w:hanging="200"/>
    </w:pPr>
  </w:style>
  <w:style w:type="table" w:styleId="TableProfessional">
    <w:name w:val="Table Professional"/>
    <w:basedOn w:val="TableNormal"/>
    <w:rsid w:val="00B12285"/>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rsid w:val="00B12285"/>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rsid w:val="00B12285"/>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rsid w:val="00B12285"/>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rsid w:val="00B12285"/>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rsid w:val="00B12285"/>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rsid w:val="00B1228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B12285"/>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rsid w:val="00B12285"/>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rsid w:val="00B12285"/>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rsid w:val="00B12285"/>
    <w:pPr>
      <w:spacing w:before="240" w:after="60"/>
      <w:jc w:val="center"/>
      <w:outlineLvl w:val="0"/>
    </w:pPr>
    <w:rPr>
      <w:rFonts w:ascii="Arial" w:hAnsi="Arial" w:cs="Arial"/>
      <w:b/>
      <w:bCs/>
      <w:sz w:val="32"/>
      <w:szCs w:val="32"/>
    </w:rPr>
  </w:style>
  <w:style w:type="paragraph" w:styleId="TOAHeading">
    <w:name w:val="toa heading"/>
    <w:basedOn w:val="Normal"/>
    <w:next w:val="Normal"/>
    <w:rsid w:val="00B12285"/>
    <w:pPr>
      <w:spacing w:before="120"/>
    </w:pPr>
    <w:rPr>
      <w:rFonts w:ascii="Arial" w:hAnsi="Arial" w:cs="Arial"/>
      <w:sz w:val="24"/>
      <w:szCs w:val="24"/>
    </w:rPr>
  </w:style>
  <w:style w:type="paragraph" w:styleId="TOC1">
    <w:name w:val="toc 1"/>
    <w:basedOn w:val="Normal"/>
    <w:next w:val="Normal"/>
    <w:rsid w:val="00B12285"/>
  </w:style>
  <w:style w:type="paragraph" w:styleId="TOC2">
    <w:name w:val="toc 2"/>
    <w:basedOn w:val="Normal"/>
    <w:next w:val="Normal"/>
    <w:rsid w:val="00B12285"/>
    <w:pPr>
      <w:ind w:leftChars="200" w:left="420"/>
    </w:pPr>
  </w:style>
  <w:style w:type="paragraph" w:styleId="TOC3">
    <w:name w:val="toc 3"/>
    <w:basedOn w:val="Normal"/>
    <w:next w:val="Normal"/>
    <w:rsid w:val="00B12285"/>
    <w:pPr>
      <w:ind w:leftChars="400" w:left="840"/>
    </w:pPr>
  </w:style>
  <w:style w:type="paragraph" w:styleId="TOC4">
    <w:name w:val="toc 4"/>
    <w:basedOn w:val="Normal"/>
    <w:next w:val="Normal"/>
    <w:rsid w:val="00B12285"/>
    <w:pPr>
      <w:ind w:leftChars="600" w:left="1260"/>
    </w:pPr>
  </w:style>
  <w:style w:type="paragraph" w:styleId="TOC5">
    <w:name w:val="toc 5"/>
    <w:basedOn w:val="Normal"/>
    <w:next w:val="Normal"/>
    <w:rsid w:val="00B12285"/>
    <w:pPr>
      <w:ind w:leftChars="800" w:left="1680"/>
    </w:pPr>
  </w:style>
  <w:style w:type="paragraph" w:styleId="TOC6">
    <w:name w:val="toc 6"/>
    <w:basedOn w:val="Normal"/>
    <w:next w:val="Normal"/>
    <w:rsid w:val="00B12285"/>
    <w:pPr>
      <w:ind w:leftChars="1000" w:left="2100"/>
    </w:pPr>
  </w:style>
  <w:style w:type="paragraph" w:styleId="TOC7">
    <w:name w:val="toc 7"/>
    <w:basedOn w:val="Normal"/>
    <w:next w:val="Normal"/>
    <w:rsid w:val="00B12285"/>
    <w:pPr>
      <w:ind w:leftChars="1200" w:left="2520"/>
    </w:pPr>
  </w:style>
  <w:style w:type="paragraph" w:styleId="TOC8">
    <w:name w:val="toc 8"/>
    <w:basedOn w:val="Normal"/>
    <w:next w:val="Normal"/>
    <w:rsid w:val="00B12285"/>
    <w:pPr>
      <w:ind w:leftChars="1400" w:left="2940"/>
    </w:pPr>
  </w:style>
  <w:style w:type="paragraph" w:styleId="TOC9">
    <w:name w:val="toc 9"/>
    <w:basedOn w:val="Normal"/>
    <w:next w:val="Normal"/>
    <w:rsid w:val="00B12285"/>
    <w:pPr>
      <w:ind w:leftChars="1600" w:left="3360"/>
    </w:pPr>
  </w:style>
  <w:style w:type="table" w:styleId="LightShading">
    <w:name w:val="Light Shading"/>
    <w:basedOn w:val="TableNormal"/>
    <w:uiPriority w:val="60"/>
    <w:rsid w:val="00B12285"/>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sid w:val="00B12285"/>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rsid w:val="00B12285"/>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rsid w:val="00B12285"/>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rsid w:val="00B12285"/>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rsid w:val="00B12285"/>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sid w:val="00B12285"/>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rsid w:val="00B12285"/>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12285"/>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12285"/>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12285"/>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12285"/>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12285"/>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12285"/>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B12285"/>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rsid w:val="00B12285"/>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rsid w:val="00B12285"/>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rsid w:val="00B12285"/>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rsid w:val="00B12285"/>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rsid w:val="00B12285"/>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rsid w:val="00B12285"/>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rsid w:val="00B12285"/>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12285"/>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12285"/>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12285"/>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12285"/>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12285"/>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12285"/>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rsid w:val="00B1228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rsid w:val="00B12285"/>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12285"/>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12285"/>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12285"/>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12285"/>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12285"/>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12285"/>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12285"/>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12285"/>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12285"/>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12285"/>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12285"/>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12285"/>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12285"/>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B12285"/>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12285"/>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12285"/>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12285"/>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12285"/>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12285"/>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12285"/>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12285"/>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12285"/>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12285"/>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12285"/>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12285"/>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12285"/>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12285"/>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rsid w:val="00B12285"/>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1228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B12285"/>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12285"/>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12285"/>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12285"/>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12285"/>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12285"/>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12285"/>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1228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12285"/>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cdc.gov/parasites/malaria/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1185</Words>
  <Characters>6760</Characters>
  <Application>Microsoft Office Word</Application>
  <DocSecurity>0</DocSecurity>
  <Lines>56</Lines>
  <Paragraphs>15</Paragraphs>
  <ScaleCrop>false</ScaleCrop>
  <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2021-12-27T09:53:00Z</dcterms:created>
  <dcterms:modified xsi:type="dcterms:W3CDTF">2021-12-27T09:53:00Z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1B89D0E854BB4C74B203E209DDF669DA</vt:lpwstr>
  </property>
</Properties>
</file>